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E15C99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 dell’art. 36 co. 2 lett. a)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 xml:space="preserve">D.lgs. 50/2016 per </w:t>
      </w:r>
      <w:r w:rsidRPr="00E15C99">
        <w:rPr>
          <w:rStyle w:val="BLOCKBOLD"/>
          <w:rFonts w:ascii="Calibri" w:hAnsi="Calibri"/>
        </w:rPr>
        <w:t>Fornitura centrale sistema antincendio</w:t>
      </w:r>
      <w:r w:rsidRPr="00E15C99" w:rsidDel="00E15C99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E15C99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>. a)</w:t>
    </w:r>
    <w:r>
      <w:rPr>
        <w:rFonts w:ascii="Calibri" w:hAnsi="Calibri"/>
        <w:sz w:val="18"/>
        <w:szCs w:val="18"/>
      </w:rPr>
      <w:t xml:space="preserve"> </w:t>
    </w:r>
    <w:r w:rsidR="00D27284" w:rsidRPr="00D27284">
      <w:rPr>
        <w:rFonts w:ascii="Calibri" w:hAnsi="Calibri"/>
        <w:sz w:val="18"/>
        <w:szCs w:val="18"/>
      </w:rPr>
      <w:t>D.lgs. 50/2016 per</w:t>
    </w:r>
    <w:r>
      <w:rPr>
        <w:rFonts w:ascii="Calibri" w:hAnsi="Calibri"/>
        <w:sz w:val="18"/>
        <w:szCs w:val="18"/>
      </w:rPr>
      <w:t xml:space="preserve"> f</w:t>
    </w:r>
    <w:r w:rsidRPr="00E15C99">
      <w:rPr>
        <w:rFonts w:ascii="Calibri" w:hAnsi="Calibri"/>
        <w:sz w:val="18"/>
        <w:szCs w:val="18"/>
      </w:rPr>
      <w:t>ornitura centrale sistema antincendio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E15C99">
      <w:rPr>
        <w:rFonts w:ascii="Calibri" w:hAnsi="Calibri"/>
        <w:color w:val="808080"/>
        <w:sz w:val="16"/>
        <w:szCs w:val="14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758F5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15C99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2020-01-08T14:16:00Z</dcterms:modified>
</cp:coreProperties>
</file>